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2F289D" w:rsidRDefault="00CA4692" w:rsidP="00880F60">
      <w:pPr>
        <w:pStyle w:val="Title"/>
        <w:rPr>
          <w:lang w:val="pt-BR"/>
        </w:rPr>
      </w:pPr>
      <w:r w:rsidRPr="002F289D">
        <w:rPr>
          <w:rFonts w:ascii="Georgia" w:eastAsia="Georgia" w:hAnsi="Georgia" w:cs="Georgia"/>
          <w:bCs/>
          <w:iCs/>
          <w:lang w:val="pt-BR"/>
        </w:rPr>
        <w:t>Material A.2</w:t>
      </w:r>
    </w:p>
    <w:p w:rsidR="002F372E" w:rsidRPr="002F289D" w:rsidRDefault="00CA4692" w:rsidP="00061BDC">
      <w:pPr>
        <w:pStyle w:val="Subtitle"/>
        <w:rPr>
          <w:sz w:val="50"/>
          <w:szCs w:val="50"/>
          <w:lang w:val="pt-BR"/>
        </w:rPr>
      </w:pPr>
      <w:r w:rsidRPr="002F289D">
        <w:rPr>
          <w:rFonts w:ascii="Georgia" w:eastAsia="Georgia" w:hAnsi="Georgia" w:cs="Georgia"/>
          <w:sz w:val="50"/>
          <w:szCs w:val="50"/>
          <w:lang w:val="pt-BR"/>
        </w:rPr>
        <w:t>Estudo de caso ― Facebook, Inc. [FB]</w:t>
      </w:r>
    </w:p>
    <w:p w:rsidR="00E55315" w:rsidRPr="002F289D" w:rsidRDefault="00CA4692" w:rsidP="00E55315">
      <w:pPr>
        <w:pStyle w:val="BodyText"/>
        <w:rPr>
          <w:i/>
          <w:lang w:val="pt-BR"/>
        </w:rPr>
      </w:pPr>
      <w:r w:rsidRPr="002F289D">
        <w:rPr>
          <w:rFonts w:eastAsia="Georgia" w:cs="Georgia"/>
          <w:i/>
          <w:iCs/>
          <w:lang w:val="pt-BR"/>
        </w:rPr>
        <w:t>Todas as informações incluídas neste estudo de caso são baseadas em conhecimento público, obtidas das fontes listadas abaixo.</w:t>
      </w:r>
    </w:p>
    <w:tbl>
      <w:tblPr>
        <w:tblStyle w:val="DP-Plain1"/>
        <w:tblW w:w="5003" w:type="pct"/>
        <w:tblLayout w:type="fixed"/>
        <w:tblLook w:val="04A0"/>
      </w:tblPr>
      <w:tblGrid>
        <w:gridCol w:w="5562"/>
        <w:gridCol w:w="450"/>
        <w:gridCol w:w="1471"/>
        <w:gridCol w:w="1666"/>
      </w:tblGrid>
      <w:tr w:rsidR="009E07BF" w:rsidRPr="00D3787D" w:rsidTr="00061BDC">
        <w:tc>
          <w:tcPr>
            <w:cnfStyle w:val="001000000000"/>
            <w:tcW w:w="9149" w:type="dxa"/>
            <w:gridSpan w:val="4"/>
            <w:tcBorders>
              <w:top w:val="single" w:sz="6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DP-Plain2"/>
              <w:rPr>
                <w:b/>
                <w:color w:val="DC6900" w:themeColor="text2"/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b/>
                <w:bCs/>
                <w:color w:val="DC6900" w:themeColor="text2"/>
                <w:sz w:val="18"/>
                <w:szCs w:val="18"/>
                <w:lang w:val="pt-BR"/>
              </w:rPr>
              <w:t>Faturamento total (estimado, em milhões de US$)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061BDC" w:rsidRPr="002F289D" w:rsidRDefault="00CA4692" w:rsidP="00061BDC">
            <w:pPr>
              <w:pStyle w:val="TableSecondLevelGeorgia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2F289D">
              <w:rPr>
                <w:rFonts w:ascii="Arial" w:eastAsia="Arial" w:hAnsi="Arial" w:cs="Arial"/>
                <w:color w:val="DC6900"/>
                <w:sz w:val="18"/>
                <w:szCs w:val="18"/>
                <w:lang w:val="pt-BR"/>
              </w:rPr>
              <w:t>Ano</w:t>
            </w:r>
          </w:p>
        </w:tc>
        <w:tc>
          <w:tcPr>
            <w:tcW w:w="1921" w:type="dxa"/>
            <w:gridSpan w:val="2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061BDC" w:rsidRPr="002F289D" w:rsidRDefault="00CA4692" w:rsidP="00061BDC">
            <w:pPr>
              <w:pStyle w:val="TableSecondLevelGeorgia"/>
              <w:jc w:val="right"/>
              <w:cnfStyle w:val="000000000000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2F289D">
              <w:rPr>
                <w:rFonts w:ascii="Arial" w:eastAsia="Arial" w:hAnsi="Arial" w:cs="Arial"/>
                <w:color w:val="DC6900"/>
                <w:sz w:val="18"/>
                <w:szCs w:val="18"/>
                <w:lang w:val="pt-BR"/>
              </w:rPr>
              <w:t>Receita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single" w:sz="6" w:space="0" w:color="DC6900" w:themeColor="text2"/>
            </w:tcBorders>
          </w:tcPr>
          <w:p w:rsidR="00061BDC" w:rsidRPr="002F289D" w:rsidRDefault="00CA4692" w:rsidP="00061BDC">
            <w:pPr>
              <w:pStyle w:val="TableSecondLevelGeorgia"/>
              <w:jc w:val="right"/>
              <w:cnfStyle w:val="000000000000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2F289D">
              <w:rPr>
                <w:rFonts w:ascii="Arial" w:eastAsia="Arial" w:hAnsi="Arial" w:cs="Arial"/>
                <w:color w:val="DC6900"/>
                <w:sz w:val="18"/>
                <w:szCs w:val="18"/>
                <w:lang w:val="pt-BR"/>
              </w:rPr>
              <w:t>Crescimento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single" w:sz="6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2006</w:t>
            </w:r>
          </w:p>
        </w:tc>
        <w:tc>
          <w:tcPr>
            <w:tcW w:w="450" w:type="dxa"/>
            <w:tcBorders>
              <w:top w:val="single" w:sz="6" w:space="0" w:color="DC6900" w:themeColor="text2"/>
              <w:bottom w:val="dotted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single" w:sz="6" w:space="0" w:color="DC6900" w:themeColor="text2"/>
              <w:left w:val="nil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52</w:t>
            </w:r>
          </w:p>
        </w:tc>
        <w:tc>
          <w:tcPr>
            <w:tcW w:w="1666" w:type="dxa"/>
            <w:tcBorders>
              <w:top w:val="single" w:sz="6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—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2007</w:t>
            </w:r>
          </w:p>
        </w:tc>
        <w:tc>
          <w:tcPr>
            <w:tcW w:w="450" w:type="dxa"/>
            <w:tcBorders>
              <w:top w:val="dotted" w:sz="8" w:space="0" w:color="DC6900" w:themeColor="text2"/>
              <w:bottom w:val="dotted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dotted" w:sz="8" w:space="0" w:color="DC6900" w:themeColor="text2"/>
              <w:left w:val="nil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150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188%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2008</w:t>
            </w:r>
          </w:p>
        </w:tc>
        <w:tc>
          <w:tcPr>
            <w:tcW w:w="450" w:type="dxa"/>
            <w:tcBorders>
              <w:top w:val="dotted" w:sz="8" w:space="0" w:color="DC6900" w:themeColor="text2"/>
              <w:bottom w:val="dotted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dotted" w:sz="8" w:space="0" w:color="DC6900" w:themeColor="text2"/>
              <w:left w:val="nil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280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87%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2009</w:t>
            </w:r>
          </w:p>
        </w:tc>
        <w:tc>
          <w:tcPr>
            <w:tcW w:w="450" w:type="dxa"/>
            <w:tcBorders>
              <w:top w:val="dotted" w:sz="8" w:space="0" w:color="DC6900" w:themeColor="text2"/>
              <w:bottom w:val="dotted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dotted" w:sz="8" w:space="0" w:color="DC6900" w:themeColor="text2"/>
              <w:left w:val="nil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775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177%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2010</w:t>
            </w:r>
          </w:p>
        </w:tc>
        <w:tc>
          <w:tcPr>
            <w:tcW w:w="450" w:type="dxa"/>
            <w:tcBorders>
              <w:top w:val="dotted" w:sz="8" w:space="0" w:color="DC6900" w:themeColor="text2"/>
              <w:bottom w:val="dotted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dotted" w:sz="8" w:space="0" w:color="DC6900" w:themeColor="text2"/>
              <w:left w:val="nil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2.000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dotted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158%</w:t>
            </w:r>
          </w:p>
        </w:tc>
      </w:tr>
      <w:tr w:rsidR="009E07BF" w:rsidRPr="002F289D" w:rsidTr="00061BDC">
        <w:tc>
          <w:tcPr>
            <w:cnfStyle w:val="001000000000"/>
            <w:tcW w:w="5562" w:type="dxa"/>
            <w:tcBorders>
              <w:top w:val="dotted" w:sz="8" w:space="0" w:color="DC6900" w:themeColor="text2"/>
              <w:bottom w:val="single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sz w:val="18"/>
                <w:szCs w:val="18"/>
                <w:lang w:val="pt-BR"/>
              </w:rPr>
              <w:t>2011</w:t>
            </w:r>
          </w:p>
        </w:tc>
        <w:tc>
          <w:tcPr>
            <w:tcW w:w="450" w:type="dxa"/>
            <w:tcBorders>
              <w:top w:val="dotted" w:sz="8" w:space="0" w:color="DC6900" w:themeColor="text2"/>
              <w:bottom w:val="single" w:sz="8" w:space="0" w:color="DC6900" w:themeColor="text2"/>
              <w:right w:val="nil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sz w:val="18"/>
                <w:szCs w:val="18"/>
                <w:lang w:val="pt-BR"/>
              </w:rPr>
              <w:t>$</w:t>
            </w:r>
          </w:p>
        </w:tc>
        <w:tc>
          <w:tcPr>
            <w:tcW w:w="1471" w:type="dxa"/>
            <w:tcBorders>
              <w:top w:val="dotted" w:sz="8" w:space="0" w:color="DC6900" w:themeColor="text2"/>
              <w:left w:val="nil"/>
              <w:bottom w:val="single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4.270</w:t>
            </w:r>
          </w:p>
        </w:tc>
        <w:tc>
          <w:tcPr>
            <w:tcW w:w="1666" w:type="dxa"/>
            <w:tcBorders>
              <w:top w:val="dotted" w:sz="8" w:space="0" w:color="DC6900" w:themeColor="text2"/>
              <w:bottom w:val="single" w:sz="8" w:space="0" w:color="DC6900" w:themeColor="text2"/>
            </w:tcBorders>
          </w:tcPr>
          <w:p w:rsidR="00061BDC" w:rsidRPr="002F289D" w:rsidRDefault="00CA4692" w:rsidP="00061BDC">
            <w:pPr>
              <w:pStyle w:val="TabletextArial"/>
              <w:jc w:val="right"/>
              <w:cnfStyle w:val="000000000000"/>
              <w:rPr>
                <w:sz w:val="18"/>
                <w:szCs w:val="18"/>
                <w:lang w:val="pt-BR"/>
              </w:rPr>
            </w:pPr>
            <w:r w:rsidRPr="002F289D">
              <w:rPr>
                <w:rFonts w:eastAsia="Arial"/>
                <w:color w:val="auto"/>
                <w:sz w:val="18"/>
                <w:szCs w:val="18"/>
                <w:lang w:val="pt-BR"/>
              </w:rPr>
              <w:t>114%</w:t>
            </w:r>
          </w:p>
        </w:tc>
      </w:tr>
    </w:tbl>
    <w:p w:rsidR="00754835" w:rsidRPr="002F289D" w:rsidRDefault="00754835" w:rsidP="006571C8">
      <w:pPr>
        <w:pStyle w:val="BodyText"/>
        <w:rPr>
          <w:rFonts w:eastAsia="Georgia" w:cs="Georgia"/>
          <w:lang w:val="pt-BR"/>
        </w:rPr>
      </w:pPr>
    </w:p>
    <w:p w:rsidR="002F372E" w:rsidRPr="002F289D" w:rsidRDefault="00CA4692" w:rsidP="006571C8">
      <w:pPr>
        <w:pStyle w:val="BodyText"/>
        <w:rPr>
          <w:lang w:val="pt-BR"/>
        </w:rPr>
      </w:pPr>
      <w:r w:rsidRPr="002F289D">
        <w:rPr>
          <w:rFonts w:eastAsia="Georgia" w:cs="Georgia"/>
          <w:lang w:val="pt-BR"/>
        </w:rPr>
        <w:t>Facebook, Inc. é uma empresa de Internet sediada nos EUA que opera o website de networking social, Facebook, que possui mais de 900 milhões de usuários em todo o mundo. Facebook, Inc. foi fundado em 2004 por Mark Zuckerberg, juntamente com mais três pessoas: Chris Huges, Eduardo Saverin e Dustin Moskovitz.</w:t>
      </w:r>
    </w:p>
    <w:p w:rsidR="006571C8" w:rsidRPr="002F289D" w:rsidRDefault="00CA4692" w:rsidP="006571C8">
      <w:pPr>
        <w:pStyle w:val="BodyText"/>
        <w:rPr>
          <w:lang w:val="pt-BR"/>
        </w:rPr>
      </w:pPr>
      <w:r w:rsidRPr="002F289D">
        <w:rPr>
          <w:rFonts w:eastAsia="Georgia" w:cs="Georgia"/>
          <w:lang w:val="pt-BR"/>
        </w:rPr>
        <w:t xml:space="preserve">Juntar-se ao Facebook é grátis, e o faturamento </w:t>
      </w:r>
      <w:r w:rsidR="00754835" w:rsidRPr="002F289D">
        <w:rPr>
          <w:rFonts w:eastAsia="Georgia" w:cs="Georgia"/>
          <w:lang w:val="pt-BR"/>
        </w:rPr>
        <w:t xml:space="preserve">é principalmente por anúncios. </w:t>
      </w:r>
      <w:r w:rsidRPr="002F289D">
        <w:rPr>
          <w:rFonts w:eastAsia="Georgia" w:cs="Georgia"/>
          <w:lang w:val="pt-BR"/>
        </w:rPr>
        <w:t xml:space="preserve">O site faturou US$ 3,7 bilhões em 2011, um aumento de 88% em relação a 2010. Praticamente 84% do </w:t>
      </w:r>
      <w:r w:rsidR="00754835" w:rsidRPr="002F289D">
        <w:rPr>
          <w:rFonts w:eastAsia="Georgia" w:cs="Georgia"/>
          <w:lang w:val="pt-BR"/>
        </w:rPr>
        <w:t>faturamento veio de propaganda.</w:t>
      </w:r>
    </w:p>
    <w:p w:rsidR="006571C8" w:rsidRPr="002F289D" w:rsidRDefault="00CA4692" w:rsidP="006571C8">
      <w:pPr>
        <w:pStyle w:val="BodyText"/>
        <w:rPr>
          <w:lang w:val="pt-BR"/>
        </w:rPr>
      </w:pPr>
      <w:r w:rsidRPr="002F289D">
        <w:rPr>
          <w:rFonts w:eastAsia="Georgia" w:cs="Georgia"/>
          <w:lang w:val="pt-BR"/>
        </w:rPr>
        <w:t>Os anunciantes são atraídos ao Facebook por duas razões principais: seu grande alcance (cerca de 500 milhões de usuários por dia) e sua habilidade em direcionar anúncios para usuários específicos, com base nas informações que fornecem à empresa pelo website.</w:t>
      </w:r>
    </w:p>
    <w:p w:rsidR="006571C8" w:rsidRPr="002F289D" w:rsidRDefault="00CA4692" w:rsidP="006571C8">
      <w:pPr>
        <w:pStyle w:val="BodyText"/>
        <w:rPr>
          <w:lang w:val="pt-BR"/>
        </w:rPr>
        <w:sectPr w:rsidR="006571C8" w:rsidRPr="002F289D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2F289D">
        <w:rPr>
          <w:rFonts w:eastAsia="Georgia" w:cs="Georgia"/>
          <w:lang w:val="pt-BR"/>
        </w:rPr>
        <w:t>O restante do faturamento vem de pagamentos por jogos e outros aplicativos agregados. O Facebook se apropria de 30% do faturamento do Zynga, o desenvolvedor do FarmVille e de outros jogos populares, e de uma participação similar de outras empresas de desenvolvimento de jogos. Bens virtuais responderam por 12% do faturamento do Facebook em 2011, conforme os documentos enviados pela empresa à Comissão de Valores Mobiliários (SEC).</w:t>
      </w:r>
    </w:p>
    <w:p w:rsidR="006571C8" w:rsidRPr="002F289D" w:rsidRDefault="00CA4692" w:rsidP="006571C8">
      <w:pPr>
        <w:pStyle w:val="BodyText"/>
        <w:rPr>
          <w:sz w:val="19"/>
          <w:szCs w:val="19"/>
          <w:lang w:val="pt-BR"/>
        </w:rPr>
      </w:pPr>
      <w:r w:rsidRPr="002F289D">
        <w:rPr>
          <w:rFonts w:eastAsia="Georgia" w:cs="Georgia"/>
          <w:sz w:val="19"/>
          <w:szCs w:val="19"/>
          <w:lang w:val="pt-BR"/>
        </w:rPr>
        <w:lastRenderedPageBreak/>
        <w:t xml:space="preserve">O Facebook, Inc. solicitou oferta pública </w:t>
      </w:r>
      <w:r w:rsidR="00D3787D">
        <w:rPr>
          <w:rFonts w:eastAsia="Georgia" w:cs="Georgia"/>
          <w:sz w:val="19"/>
          <w:szCs w:val="19"/>
          <w:lang w:val="pt-BR"/>
        </w:rPr>
        <w:t xml:space="preserve">inicial </w:t>
      </w:r>
      <w:r w:rsidRPr="002F289D">
        <w:rPr>
          <w:rFonts w:eastAsia="Georgia" w:cs="Georgia"/>
          <w:sz w:val="19"/>
          <w:szCs w:val="19"/>
          <w:lang w:val="pt-BR"/>
        </w:rPr>
        <w:t>de ações em 1 de fevereiro de 2012. A empresa planejou uma oferta</w:t>
      </w:r>
      <w:r w:rsidR="00D3787D">
        <w:rPr>
          <w:rFonts w:eastAsia="Georgia" w:cs="Georgia"/>
          <w:sz w:val="19"/>
          <w:szCs w:val="19"/>
          <w:lang w:val="pt-BR"/>
        </w:rPr>
        <w:t xml:space="preserve"> pública</w:t>
      </w:r>
      <w:r w:rsidRPr="002F289D">
        <w:rPr>
          <w:rFonts w:eastAsia="Georgia" w:cs="Georgia"/>
          <w:sz w:val="19"/>
          <w:szCs w:val="19"/>
          <w:lang w:val="pt-BR"/>
        </w:rPr>
        <w:t xml:space="preserve"> inicial de US$ 5 bilhões, a maior na história da Internet e uma das maiores na história do setor de tecnologia. O Facebook avaliou sua ação em US$ 38, o que precificou a empresa em US$ 104 bilhões: a maior avaliação de uma nova empresa listada em bolsa até o momento. As ações da empresa começaram a ser n</w:t>
      </w:r>
      <w:r w:rsidR="00754835" w:rsidRPr="002F289D">
        <w:rPr>
          <w:rFonts w:eastAsia="Georgia" w:cs="Georgia"/>
          <w:sz w:val="19"/>
          <w:szCs w:val="19"/>
          <w:lang w:val="pt-BR"/>
        </w:rPr>
        <w:t>egociadas em 18 de maio de 2012,</w:t>
      </w:r>
      <w:r w:rsidRPr="002F289D">
        <w:rPr>
          <w:rFonts w:eastAsia="Georgia" w:cs="Georgia"/>
          <w:sz w:val="19"/>
          <w:szCs w:val="19"/>
          <w:lang w:val="pt-BR"/>
        </w:rPr>
        <w:t xml:space="preserve"> e embora o preço da ação </w:t>
      </w:r>
      <w:r w:rsidR="00754835" w:rsidRPr="002F289D">
        <w:rPr>
          <w:rFonts w:eastAsia="Georgia" w:cs="Georgia"/>
          <w:sz w:val="19"/>
          <w:szCs w:val="19"/>
          <w:lang w:val="pt-BR"/>
        </w:rPr>
        <w:t>tenha lutado</w:t>
      </w:r>
      <w:r w:rsidRPr="002F289D">
        <w:rPr>
          <w:rFonts w:eastAsia="Georgia" w:cs="Georgia"/>
          <w:sz w:val="19"/>
          <w:szCs w:val="19"/>
          <w:lang w:val="pt-BR"/>
        </w:rPr>
        <w:t xml:space="preserve"> para ficar acima do preço da oferta</w:t>
      </w:r>
      <w:r w:rsidR="00D3787D">
        <w:rPr>
          <w:rFonts w:eastAsia="Georgia" w:cs="Georgia"/>
          <w:sz w:val="19"/>
          <w:szCs w:val="19"/>
          <w:lang w:val="pt-BR"/>
        </w:rPr>
        <w:t xml:space="preserve"> pública</w:t>
      </w:r>
      <w:r w:rsidRPr="002F289D">
        <w:rPr>
          <w:rFonts w:eastAsia="Georgia" w:cs="Georgia"/>
          <w:sz w:val="19"/>
          <w:szCs w:val="19"/>
          <w:lang w:val="pt-BR"/>
        </w:rPr>
        <w:t xml:space="preserve"> inicial na maior parte do dia, foi definido um novo recorde para volume de negociação em uma oferta</w:t>
      </w:r>
      <w:r w:rsidR="00D3787D">
        <w:rPr>
          <w:rFonts w:eastAsia="Georgia" w:cs="Georgia"/>
          <w:sz w:val="19"/>
          <w:szCs w:val="19"/>
          <w:lang w:val="pt-BR"/>
        </w:rPr>
        <w:t xml:space="preserve"> pública</w:t>
      </w:r>
      <w:r w:rsidRPr="002F289D">
        <w:rPr>
          <w:rFonts w:eastAsia="Georgia" w:cs="Georgia"/>
          <w:sz w:val="19"/>
          <w:szCs w:val="19"/>
          <w:lang w:val="pt-BR"/>
        </w:rPr>
        <w:t xml:space="preserve"> ini</w:t>
      </w:r>
      <w:r w:rsidR="00D3787D">
        <w:rPr>
          <w:rFonts w:eastAsia="Georgia" w:cs="Georgia"/>
          <w:sz w:val="19"/>
          <w:szCs w:val="19"/>
          <w:lang w:val="pt-BR"/>
        </w:rPr>
        <w:t>cial, com 460 milhões de ações.</w:t>
      </w:r>
    </w:p>
    <w:p w:rsidR="006571C8" w:rsidRPr="002F289D" w:rsidRDefault="00CA4692" w:rsidP="006571C8">
      <w:pPr>
        <w:pStyle w:val="BodyText"/>
        <w:rPr>
          <w:sz w:val="19"/>
          <w:szCs w:val="19"/>
          <w:lang w:val="pt-BR"/>
        </w:rPr>
      </w:pPr>
      <w:r w:rsidRPr="002F289D">
        <w:rPr>
          <w:rFonts w:eastAsia="Georgia" w:cs="Georgia"/>
          <w:sz w:val="19"/>
          <w:szCs w:val="19"/>
          <w:lang w:val="pt-BR"/>
        </w:rPr>
        <w:t>O primeiro dia de negociação foi obstruído por várias falhas técnicas, que evitou a realização de ordens. Estes problemas e informações enganosas de subscritores evitaram que o preço da ação caísse abaixo do preço da oferta</w:t>
      </w:r>
      <w:r w:rsidR="00D3787D">
        <w:rPr>
          <w:rFonts w:eastAsia="Georgia" w:cs="Georgia"/>
          <w:sz w:val="19"/>
          <w:szCs w:val="19"/>
          <w:lang w:val="pt-BR"/>
        </w:rPr>
        <w:t xml:space="preserve"> pública</w:t>
      </w:r>
      <w:r w:rsidRPr="002F289D">
        <w:rPr>
          <w:rFonts w:eastAsia="Georgia" w:cs="Georgia"/>
          <w:sz w:val="19"/>
          <w:szCs w:val="19"/>
          <w:lang w:val="pt-BR"/>
        </w:rPr>
        <w:t xml:space="preserve"> inicial no primeiro dia de negociações. Porém, o preço da ação caiu rapidamente nos dias seguintes, fechando em US$ 34,03 em 21 de maio </w:t>
      </w:r>
      <w:r w:rsidR="00754835" w:rsidRPr="002F289D">
        <w:rPr>
          <w:rFonts w:eastAsia="Georgia" w:cs="Georgia"/>
          <w:sz w:val="19"/>
          <w:szCs w:val="19"/>
          <w:lang w:val="pt-BR"/>
        </w:rPr>
        <w:t>e em US$ 31,00 no dia seguinte.</w:t>
      </w:r>
    </w:p>
    <w:p w:rsidR="006571C8" w:rsidRPr="002F289D" w:rsidRDefault="00CA4692" w:rsidP="006571C8">
      <w:pPr>
        <w:pStyle w:val="BodyText"/>
        <w:rPr>
          <w:sz w:val="19"/>
          <w:szCs w:val="19"/>
          <w:lang w:val="pt-BR"/>
        </w:rPr>
      </w:pPr>
      <w:r w:rsidRPr="002F289D">
        <w:rPr>
          <w:rFonts w:eastAsia="Georgia" w:cs="Georgia"/>
          <w:sz w:val="19"/>
          <w:szCs w:val="19"/>
          <w:lang w:val="pt-BR"/>
        </w:rPr>
        <w:t xml:space="preserve">A oferta </w:t>
      </w:r>
      <w:r w:rsidR="00754835" w:rsidRPr="002F289D">
        <w:rPr>
          <w:rFonts w:eastAsia="Georgia" w:cs="Georgia"/>
          <w:sz w:val="19"/>
          <w:szCs w:val="19"/>
          <w:lang w:val="pt-BR"/>
        </w:rPr>
        <w:t xml:space="preserve">pública </w:t>
      </w:r>
      <w:r w:rsidR="00D3787D">
        <w:rPr>
          <w:rFonts w:eastAsia="Georgia" w:cs="Georgia"/>
          <w:sz w:val="19"/>
          <w:szCs w:val="19"/>
          <w:lang w:val="pt-BR"/>
        </w:rPr>
        <w:t xml:space="preserve">inicial </w:t>
      </w:r>
      <w:r w:rsidRPr="002F289D">
        <w:rPr>
          <w:rFonts w:eastAsia="Georgia" w:cs="Georgia"/>
          <w:sz w:val="19"/>
          <w:szCs w:val="19"/>
          <w:lang w:val="pt-BR"/>
        </w:rPr>
        <w:t>do Facebook está agora sob investigação e uma ação legal coletiva já foi iniciada, devido às falhas de negociação que levaram a ordens não cumpridas. Ações legais também foram iniciadas devido a alegações de que um subscritor</w:t>
      </w:r>
      <w:r w:rsidRPr="002F289D">
        <w:rPr>
          <w:rStyle w:val="FootnoteReference"/>
          <w:rFonts w:cs="Arial"/>
          <w:color w:val="000000" w:themeColor="text1"/>
          <w:sz w:val="19"/>
          <w:szCs w:val="19"/>
          <w:lang w:val="pt-BR"/>
        </w:rPr>
        <w:footnoteReference w:id="1"/>
      </w:r>
      <w:r w:rsidRPr="002F289D">
        <w:rPr>
          <w:rFonts w:eastAsia="Georgia" w:cs="Georgia"/>
          <w:sz w:val="19"/>
          <w:szCs w:val="19"/>
          <w:lang w:val="pt-BR"/>
        </w:rPr>
        <w:t xml:space="preserve"> para o Morgan Stanley revelou seletivamente informações de ganhos para clientes preferenciais. Outros subscritores, o CEO e a diretoria do Facebook estão enfrentando ações similares. Acredita-se que o diretor financeiro do Facebook avisou os subscritores do </w:t>
      </w:r>
      <w:r w:rsidR="00754835" w:rsidRPr="002F289D">
        <w:rPr>
          <w:rFonts w:eastAsia="Georgia" w:cs="Georgia"/>
          <w:sz w:val="19"/>
          <w:szCs w:val="19"/>
          <w:lang w:val="pt-BR"/>
        </w:rPr>
        <w:t>crescimento da receita, devido a</w:t>
      </w:r>
      <w:r w:rsidRPr="002F289D">
        <w:rPr>
          <w:rFonts w:eastAsia="Georgia" w:cs="Georgia"/>
          <w:sz w:val="19"/>
          <w:szCs w:val="19"/>
          <w:lang w:val="pt-BR"/>
        </w:rPr>
        <w:t xml:space="preserve"> uma mudança dos usuários do Facebook para celulares e dispositivos móveis, onde o Facebook tem menos espaço para anunciar e gerar receita. Os subscritores então avisaram os principais clientes sobre isso pouco antes da oferta </w:t>
      </w:r>
      <w:r w:rsidR="00D3787D">
        <w:rPr>
          <w:rFonts w:eastAsia="Georgia" w:cs="Georgia"/>
          <w:sz w:val="19"/>
          <w:szCs w:val="19"/>
          <w:lang w:val="pt-BR"/>
        </w:rPr>
        <w:t xml:space="preserve">pública </w:t>
      </w:r>
      <w:r w:rsidRPr="002F289D">
        <w:rPr>
          <w:rFonts w:eastAsia="Georgia" w:cs="Georgia"/>
          <w:sz w:val="19"/>
          <w:szCs w:val="19"/>
          <w:lang w:val="pt-BR"/>
        </w:rPr>
        <w:t>inicial, e deixaram o público em geral pronto para comprar as ações com sobrepreço. O processo contra o Facebook alega que a empresa falhou em revelar completamente o enfraquecimento de sua perspectiva financeira antes da oferta</w:t>
      </w:r>
      <w:r w:rsidR="00D3787D">
        <w:rPr>
          <w:rFonts w:eastAsia="Georgia" w:cs="Georgia"/>
          <w:sz w:val="19"/>
          <w:szCs w:val="19"/>
          <w:lang w:val="pt-BR"/>
        </w:rPr>
        <w:t xml:space="preserve"> </w:t>
      </w:r>
      <w:r w:rsidR="00754835" w:rsidRPr="002F289D">
        <w:rPr>
          <w:rFonts w:eastAsia="Georgia" w:cs="Georgia"/>
          <w:sz w:val="19"/>
          <w:szCs w:val="19"/>
          <w:lang w:val="pt-BR"/>
        </w:rPr>
        <w:t>pública</w:t>
      </w:r>
      <w:r w:rsidR="00D3787D">
        <w:rPr>
          <w:rFonts w:eastAsia="Georgia" w:cs="Georgia"/>
          <w:sz w:val="19"/>
          <w:szCs w:val="19"/>
          <w:lang w:val="pt-BR"/>
        </w:rPr>
        <w:t xml:space="preserve"> inicial</w:t>
      </w:r>
      <w:r w:rsidRPr="002F289D">
        <w:rPr>
          <w:rFonts w:eastAsia="Georgia" w:cs="Georgia"/>
          <w:sz w:val="19"/>
          <w:szCs w:val="19"/>
          <w:lang w:val="pt-BR"/>
        </w:rPr>
        <w:t>.</w:t>
      </w:r>
    </w:p>
    <w:p w:rsidR="006571C8" w:rsidRPr="002F289D" w:rsidRDefault="00CA4692" w:rsidP="006571C8">
      <w:pPr>
        <w:pStyle w:val="BodyText"/>
        <w:rPr>
          <w:sz w:val="19"/>
          <w:szCs w:val="19"/>
          <w:lang w:val="pt-BR"/>
        </w:rPr>
      </w:pPr>
      <w:r w:rsidRPr="002F289D">
        <w:rPr>
          <w:rFonts w:eastAsia="Georgia" w:cs="Georgia"/>
          <w:sz w:val="19"/>
          <w:szCs w:val="19"/>
          <w:lang w:val="pt-BR"/>
        </w:rPr>
        <w:t xml:space="preserve">Ao final de maio de 2012, a ação tinha perdido um terço de seu valor inicial, caindo para US$ 25,50. </w:t>
      </w:r>
      <w:r w:rsidRPr="002F289D">
        <w:rPr>
          <w:rFonts w:eastAsia="Georgia" w:cs="Georgia"/>
          <w:i/>
          <w:iCs/>
          <w:sz w:val="19"/>
          <w:szCs w:val="19"/>
          <w:lang w:val="pt-BR"/>
        </w:rPr>
        <w:t>O Wall Street Journal</w:t>
      </w:r>
      <w:r w:rsidRPr="002F289D">
        <w:rPr>
          <w:rFonts w:eastAsia="Georgia" w:cs="Georgia"/>
          <w:sz w:val="19"/>
          <w:szCs w:val="19"/>
          <w:lang w:val="pt-BR"/>
        </w:rPr>
        <w:t xml:space="preserve"> chamou a oferta</w:t>
      </w:r>
      <w:r w:rsidR="00D3787D">
        <w:rPr>
          <w:rFonts w:eastAsia="Georgia" w:cs="Georgia"/>
          <w:sz w:val="19"/>
          <w:szCs w:val="19"/>
          <w:lang w:val="pt-BR"/>
        </w:rPr>
        <w:t xml:space="preserve"> pública</w:t>
      </w:r>
      <w:r w:rsidRPr="002F289D">
        <w:rPr>
          <w:rFonts w:eastAsia="Georgia" w:cs="Georgia"/>
          <w:sz w:val="19"/>
          <w:szCs w:val="19"/>
          <w:lang w:val="pt-BR"/>
        </w:rPr>
        <w:t xml:space="preserve"> inicial de </w:t>
      </w:r>
      <w:r w:rsidR="00754835" w:rsidRPr="002F289D">
        <w:rPr>
          <w:rFonts w:eastAsia="Georgia" w:cs="Georgia"/>
          <w:sz w:val="19"/>
          <w:szCs w:val="19"/>
          <w:lang w:val="pt-BR"/>
        </w:rPr>
        <w:t>“</w:t>
      </w:r>
      <w:r w:rsidRPr="002F289D">
        <w:rPr>
          <w:rFonts w:eastAsia="Georgia" w:cs="Georgia"/>
          <w:sz w:val="19"/>
          <w:szCs w:val="19"/>
          <w:lang w:val="pt-BR"/>
        </w:rPr>
        <w:t>fiasco</w:t>
      </w:r>
      <w:r w:rsidR="00754835" w:rsidRPr="002F289D">
        <w:rPr>
          <w:rFonts w:eastAsia="Georgia" w:cs="Georgia"/>
          <w:sz w:val="19"/>
          <w:szCs w:val="19"/>
          <w:lang w:val="pt-BR"/>
        </w:rPr>
        <w:t>”</w:t>
      </w:r>
      <w:r w:rsidRPr="002F289D">
        <w:rPr>
          <w:rFonts w:eastAsia="Georgia" w:cs="Georgia"/>
          <w:sz w:val="19"/>
          <w:szCs w:val="19"/>
          <w:lang w:val="pt-BR"/>
        </w:rPr>
        <w:t>. Felizmente, para os investidores do Facebook, na metade de junho de 2012, o valor da ação se recuperou para US$ 32.</w:t>
      </w:r>
    </w:p>
    <w:p w:rsidR="006571C8" w:rsidRPr="002F289D" w:rsidRDefault="00CA4692" w:rsidP="006571C8">
      <w:pPr>
        <w:pStyle w:val="BodyText"/>
        <w:rPr>
          <w:b/>
          <w:sz w:val="19"/>
          <w:szCs w:val="19"/>
          <w:shd w:val="clear" w:color="auto" w:fill="FFFFFF"/>
          <w:lang w:val="pt-BR"/>
        </w:rPr>
      </w:pPr>
      <w:r w:rsidRPr="002F289D">
        <w:rPr>
          <w:rFonts w:eastAsia="Georgia" w:cs="Georgia"/>
          <w:b/>
          <w:bCs/>
          <w:sz w:val="19"/>
          <w:szCs w:val="19"/>
          <w:shd w:val="clear" w:color="auto" w:fill="FFFFFF"/>
          <w:lang w:val="pt-BR"/>
        </w:rPr>
        <w:t>Preços de ação ao longo do tempo</w:t>
      </w:r>
    </w:p>
    <w:p w:rsidR="006571C8" w:rsidRPr="002F289D" w:rsidRDefault="00CA4692" w:rsidP="006571C8">
      <w:pPr>
        <w:pStyle w:val="BodyText"/>
        <w:rPr>
          <w:sz w:val="19"/>
          <w:szCs w:val="19"/>
          <w:lang w:val="pt-BR"/>
        </w:rPr>
      </w:pPr>
      <w:r w:rsidRPr="002F289D">
        <w:rPr>
          <w:rFonts w:eastAsia="Georgia" w:cs="Georgia"/>
          <w:sz w:val="19"/>
          <w:szCs w:val="19"/>
          <w:shd w:val="clear" w:color="auto" w:fill="FFFFFF"/>
          <w:lang w:val="pt-BR"/>
        </w:rPr>
        <w:t>O gráfico abaixo mostra o preço de fechamento ajustado das ações do Facebook entre a metade de maio e a metade de junho de 2012</w:t>
      </w:r>
      <w:r w:rsidRPr="002F289D">
        <w:rPr>
          <w:rFonts w:eastAsia="Georgia" w:cs="Georgia"/>
          <w:sz w:val="19"/>
          <w:szCs w:val="19"/>
          <w:lang w:val="pt-BR"/>
        </w:rPr>
        <w:t>.</w:t>
      </w:r>
      <w:r w:rsidRPr="002F289D">
        <w:rPr>
          <w:rStyle w:val="FootnoteReference"/>
          <w:color w:val="000000" w:themeColor="text1"/>
          <w:sz w:val="19"/>
          <w:szCs w:val="19"/>
          <w:lang w:val="pt-BR"/>
        </w:rPr>
        <w:footnoteReference w:id="2"/>
      </w:r>
    </w:p>
    <w:p w:rsidR="008C1423" w:rsidRPr="002F289D" w:rsidRDefault="00D9078A" w:rsidP="006571C8">
      <w:pPr>
        <w:pStyle w:val="BodyText"/>
        <w:rPr>
          <w:b/>
          <w:lang w:val="pt-BR"/>
        </w:rPr>
      </w:pPr>
      <w:r w:rsidRPr="00D9078A">
        <w:rPr>
          <w:noProof/>
          <w:shd w:val="clear" w:color="auto" w:fill="FFFFFF"/>
          <w:lang w:val="pt-B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074" type="#_x0000_t202" style="position:absolute;margin-left:2pt;margin-top:-4.75pt;width:208.35pt;height:18.35pt;z-index:251658240;mso-width-relative:margin;mso-height-relative:margin" stroked="f">
            <v:textbox>
              <w:txbxContent>
                <w:p w:rsidR="00C91D4D" w:rsidRPr="00C91D4D" w:rsidRDefault="00CA4692" w:rsidP="00C91D4D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754835">
                    <w:rPr>
                      <w:rFonts w:asciiTheme="minorHAnsi" w:eastAsia="Georgia" w:hAnsiTheme="minorHAnsi" w:cstheme="minorHAnsi"/>
                      <w:b/>
                      <w:bCs/>
                      <w:sz w:val="16"/>
                      <w:szCs w:val="16"/>
                      <w:lang w:val="pt-BR"/>
                    </w:rPr>
                    <w:t>Fechamento diário ajustado do Facebook</w:t>
                  </w:r>
                </w:p>
              </w:txbxContent>
            </v:textbox>
          </v:shape>
        </w:pict>
      </w:r>
      <w:r w:rsidR="00CA4692" w:rsidRPr="002F289D">
        <w:rPr>
          <w:b/>
          <w:noProof/>
          <w:lang w:val="en-US" w:eastAsia="zh-CN"/>
        </w:rPr>
        <w:drawing>
          <wp:inline distT="0" distB="0" distL="0" distR="0">
            <wp:extent cx="4648484" cy="1842448"/>
            <wp:effectExtent l="19050" t="0" r="18766" b="540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71C8" w:rsidRPr="002F289D" w:rsidRDefault="00CA4692" w:rsidP="006571C8">
      <w:pPr>
        <w:pStyle w:val="BodyText"/>
        <w:rPr>
          <w:b/>
          <w:lang w:val="pt-BR"/>
        </w:rPr>
      </w:pPr>
      <w:r w:rsidRPr="002F289D">
        <w:rPr>
          <w:rFonts w:eastAsia="Georgia" w:cs="Georgia"/>
          <w:b/>
          <w:bCs/>
          <w:lang w:val="pt-BR"/>
        </w:rPr>
        <w:lastRenderedPageBreak/>
        <w:t>Fontes:</w:t>
      </w:r>
    </w:p>
    <w:p w:rsidR="006571C8" w:rsidRPr="002F289D" w:rsidRDefault="00CA4692" w:rsidP="00EF0776">
      <w:pPr>
        <w:pStyle w:val="ListBullet"/>
        <w:spacing w:after="120"/>
        <w:rPr>
          <w:rStyle w:val="Hyperlink"/>
          <w:color w:val="auto"/>
          <w:lang w:val="pt-BR"/>
        </w:rPr>
      </w:pPr>
      <w:r w:rsidRPr="002F289D">
        <w:rPr>
          <w:rFonts w:eastAsia="Georgia" w:cs="Georgia"/>
          <w:color w:val="000000"/>
          <w:szCs w:val="20"/>
          <w:lang w:val="pt-BR"/>
        </w:rPr>
        <w:t>www.fundinguniverse.com/company-histories/facebook-inc-history</w:t>
      </w:r>
    </w:p>
    <w:p w:rsidR="006571C8" w:rsidRPr="002F289D" w:rsidRDefault="00CA4692" w:rsidP="00EF0776">
      <w:pPr>
        <w:pStyle w:val="ListBullet"/>
        <w:spacing w:after="120"/>
        <w:rPr>
          <w:lang w:val="pt-BR"/>
        </w:rPr>
      </w:pPr>
      <w:r w:rsidRPr="002F289D">
        <w:rPr>
          <w:rFonts w:eastAsia="Georgia" w:cs="Georgia"/>
          <w:color w:val="000000"/>
          <w:szCs w:val="20"/>
          <w:lang w:val="pt-BR"/>
        </w:rPr>
        <w:t>www.fool.com/investing/general/2012/06/05/the-3-mistakes-facebook-investors-are-making.aspx</w:t>
      </w:r>
    </w:p>
    <w:p w:rsidR="006571C8" w:rsidRPr="00D3787D" w:rsidRDefault="00CA4692" w:rsidP="00EF0776">
      <w:pPr>
        <w:pStyle w:val="ListBullet"/>
        <w:spacing w:after="120"/>
        <w:rPr>
          <w:lang w:val="en-US"/>
        </w:rPr>
      </w:pPr>
      <w:r w:rsidRPr="00D3787D">
        <w:rPr>
          <w:rFonts w:eastAsia="Georgia" w:cs="Georgia"/>
          <w:color w:val="000000"/>
          <w:szCs w:val="20"/>
          <w:lang w:val="en-US"/>
        </w:rPr>
        <w:t>uk.finance.yahoo.com/news/how-does-facebook-make-money.html</w:t>
      </w:r>
    </w:p>
    <w:p w:rsidR="006571C8" w:rsidRPr="00D3787D" w:rsidRDefault="00CA4692" w:rsidP="00EF0776">
      <w:pPr>
        <w:pStyle w:val="ListBullet"/>
        <w:spacing w:after="120"/>
        <w:rPr>
          <w:lang w:val="en-US"/>
        </w:rPr>
      </w:pPr>
      <w:r w:rsidRPr="00D3787D">
        <w:rPr>
          <w:rFonts w:eastAsia="Georgia" w:cs="Georgia"/>
          <w:color w:val="000000"/>
          <w:szCs w:val="20"/>
          <w:lang w:val="en-US"/>
        </w:rPr>
        <w:t>business.financialpost.com/2012/06/27/wall-street-analysts-like-dont-love-facebook/uk.finance.yahoo.com/q/hp?s=FB</w:t>
      </w:r>
    </w:p>
    <w:p w:rsidR="0049593D" w:rsidRPr="002F289D" w:rsidRDefault="00D9078A" w:rsidP="00EF0776">
      <w:pPr>
        <w:pStyle w:val="ListBullet"/>
        <w:spacing w:after="120"/>
        <w:rPr>
          <w:lang w:val="pt-BR"/>
        </w:rPr>
      </w:pPr>
      <w:hyperlink r:id="rId11" w:history="1">
        <w:r w:rsidR="00CA4692" w:rsidRPr="002F289D">
          <w:rPr>
            <w:rFonts w:eastAsia="Georgia" w:cs="Georgia"/>
            <w:color w:val="DC6900"/>
            <w:szCs w:val="20"/>
            <w:lang w:val="pt-BR"/>
          </w:rPr>
          <w:t>www.investopedia.com</w:t>
        </w:r>
      </w:hyperlink>
    </w:p>
    <w:p w:rsidR="0049593D" w:rsidRPr="002F289D" w:rsidRDefault="00CA4692" w:rsidP="0049593D">
      <w:pPr>
        <w:pStyle w:val="BodyText"/>
        <w:rPr>
          <w:b/>
          <w:lang w:val="pt-BR"/>
        </w:rPr>
      </w:pPr>
      <w:r w:rsidRPr="002F289D">
        <w:rPr>
          <w:rFonts w:eastAsia="Georgia" w:cs="Georgia"/>
          <w:b/>
          <w:bCs/>
          <w:lang w:val="pt-BR"/>
        </w:rPr>
        <w:t>Instruções:</w:t>
      </w:r>
    </w:p>
    <w:p w:rsidR="0049593D" w:rsidRPr="002F289D" w:rsidRDefault="00CA4692" w:rsidP="0049593D">
      <w:pPr>
        <w:pStyle w:val="BodyText"/>
        <w:rPr>
          <w:lang w:val="pt-BR"/>
        </w:rPr>
      </w:pPr>
      <w:r w:rsidRPr="002F289D">
        <w:rPr>
          <w:rFonts w:eastAsia="Georgia" w:cs="Georgia"/>
          <w:lang w:val="pt-BR"/>
        </w:rPr>
        <w:t>Em seu grupo, decida qual pessoa, ou pessoas, responderá cada questão. Escrevam breves notas nos espaços fornecidos. Depois, preparem-se para apresentar suas respostas à turma.</w:t>
      </w: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>Qual era o serviço ou produto da empresa?</w:t>
      </w: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>Explique todos os novos termos financeiros usados neste estudo de caso.</w:t>
      </w: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>O que aconteceu com a ação logo depois da oferta</w:t>
      </w:r>
      <w:r w:rsidR="00D3787D">
        <w:rPr>
          <w:rFonts w:eastAsia="Georgia" w:cs="Georgia"/>
          <w:lang w:val="pt-BR"/>
        </w:rPr>
        <w:t xml:space="preserve"> pública</w:t>
      </w:r>
      <w:r w:rsidRPr="002F289D">
        <w:rPr>
          <w:rFonts w:eastAsia="Georgia" w:cs="Georgia"/>
          <w:lang w:val="pt-BR"/>
        </w:rPr>
        <w:t xml:space="preserve"> inicial? Explique.</w:t>
      </w: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>Qual foi o desempenho da ação ao longo do tempo?</w:t>
      </w: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>Quais foram algumas das razões por qualquer variação no preço da ação?</w:t>
      </w: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3C286D" w:rsidP="0049593D">
      <w:pPr>
        <w:pStyle w:val="BodyText"/>
        <w:rPr>
          <w:lang w:val="pt-BR"/>
        </w:rPr>
      </w:pPr>
    </w:p>
    <w:p w:rsidR="0049593D" w:rsidRPr="002F289D" w:rsidRDefault="00CA4692" w:rsidP="0049593D">
      <w:pPr>
        <w:pStyle w:val="ListNumber"/>
        <w:rPr>
          <w:lang w:val="pt-BR"/>
        </w:rPr>
      </w:pPr>
      <w:r w:rsidRPr="002F289D">
        <w:rPr>
          <w:rFonts w:eastAsia="Georgia" w:cs="Georgia"/>
          <w:lang w:val="pt-BR"/>
        </w:rPr>
        <w:t xml:space="preserve">Quantas pessoas em seu grupo comprariam esta ação agora? Quais são seus motivos? </w:t>
      </w:r>
    </w:p>
    <w:p w:rsidR="0049593D" w:rsidRPr="002F289D" w:rsidRDefault="003C286D" w:rsidP="0049593D">
      <w:pPr>
        <w:pStyle w:val="BodyText"/>
        <w:rPr>
          <w:szCs w:val="21"/>
          <w:lang w:val="pt-BR"/>
        </w:rPr>
      </w:pPr>
    </w:p>
    <w:p w:rsidR="0049593D" w:rsidRPr="002F289D" w:rsidRDefault="003C286D" w:rsidP="0049593D">
      <w:pPr>
        <w:pStyle w:val="BodyText"/>
        <w:rPr>
          <w:szCs w:val="21"/>
          <w:lang w:val="pt-BR"/>
        </w:rPr>
      </w:pPr>
    </w:p>
    <w:sectPr w:rsidR="0049593D" w:rsidRPr="002F289D" w:rsidSect="009B0E4C">
      <w:headerReference w:type="default" r:id="rId12"/>
      <w:footerReference w:type="default" r:id="rId13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B7A" w:rsidRDefault="002D4B7A" w:rsidP="009E07BF">
      <w:pPr>
        <w:spacing w:after="0" w:line="240" w:lineRule="auto"/>
      </w:pPr>
      <w:r>
        <w:separator/>
      </w:r>
    </w:p>
  </w:endnote>
  <w:endnote w:type="continuationSeparator" w:id="0">
    <w:p w:rsidR="002D4B7A" w:rsidRDefault="002D4B7A" w:rsidP="009E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9078A">
    <w:pPr>
      <w:pStyle w:val="Footer"/>
    </w:pPr>
    <w:r w:rsidRPr="00D9078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2.4pt;height:36.8pt;z-index:251657728" filled="f" stroked="f">
          <v:textbox style="mso-fit-shape-to-text:t" inset="0,0,0,0">
            <w:txbxContent>
              <w:p w:rsidR="00804ABC" w:rsidRPr="00754835" w:rsidRDefault="00CA4692" w:rsidP="005D2F2A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A4692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1C8" w:rsidRDefault="00D9078A">
    <w:pPr>
      <w:pStyle w:val="Footer"/>
    </w:pPr>
    <w:r w:rsidRPr="00D9078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39.85pt;height:36.8pt;z-index:251658752" filled="f" stroked="f">
          <v:textbox style="mso-fit-shape-to-text:t" inset="0,0,0,0">
            <w:txbxContent>
              <w:p w:rsidR="006571C8" w:rsidRPr="00754835" w:rsidRDefault="00CA4692" w:rsidP="005D2F2A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B7A" w:rsidRDefault="002D4B7A">
      <w:pPr>
        <w:spacing w:after="0" w:line="240" w:lineRule="auto"/>
      </w:pPr>
      <w:r>
        <w:separator/>
      </w:r>
    </w:p>
  </w:footnote>
  <w:footnote w:type="continuationSeparator" w:id="0">
    <w:p w:rsidR="002D4B7A" w:rsidRDefault="002D4B7A">
      <w:pPr>
        <w:spacing w:after="0" w:line="240" w:lineRule="auto"/>
      </w:pPr>
      <w:r>
        <w:continuationSeparator/>
      </w:r>
    </w:p>
  </w:footnote>
  <w:footnote w:id="1">
    <w:p w:rsidR="006571C8" w:rsidRPr="00754835" w:rsidRDefault="00CA4692" w:rsidP="0049593D">
      <w:pPr>
        <w:pStyle w:val="FootnoteText"/>
        <w:rPr>
          <w:rStyle w:val="FootnoteReference"/>
          <w:sz w:val="15"/>
          <w:szCs w:val="15"/>
          <w:vertAlign w:val="baseline"/>
          <w:lang w:val="pt-PT"/>
        </w:rPr>
      </w:pPr>
      <w:r w:rsidRPr="000B393D">
        <w:rPr>
          <w:rStyle w:val="FootnoteReference"/>
          <w:sz w:val="22"/>
          <w:szCs w:val="22"/>
        </w:rPr>
        <w:footnoteRef/>
      </w:r>
      <w:r w:rsidRPr="000B393D">
        <w:rPr>
          <w:rFonts w:ascii="Georgia" w:eastAsia="Georgia" w:hAnsi="Georgia" w:cs="Georgia"/>
          <w:sz w:val="22"/>
          <w:szCs w:val="22"/>
          <w:lang w:val="pt-BR"/>
        </w:rPr>
        <w:t xml:space="preserve"> </w:t>
      </w:r>
      <w:r w:rsidRPr="00754835">
        <w:rPr>
          <w:rFonts w:ascii="Georgia" w:eastAsia="Georgia" w:hAnsi="Georgia" w:cs="Georgia"/>
          <w:sz w:val="15"/>
          <w:szCs w:val="15"/>
          <w:lang w:val="pt-BR"/>
        </w:rPr>
        <w:t>Um subscritor é uma empresa que gerencia a emissão e a distribuição de ações para outra empresa. O subscritor trabalha de perto com a empresa para determinar o preço da ação na oferta</w:t>
      </w:r>
      <w:r w:rsidR="00D3787D">
        <w:rPr>
          <w:rFonts w:ascii="Georgia" w:eastAsia="Georgia" w:hAnsi="Georgia" w:cs="Georgia"/>
          <w:sz w:val="15"/>
          <w:szCs w:val="15"/>
          <w:lang w:val="pt-BR"/>
        </w:rPr>
        <w:t xml:space="preserve"> pública</w:t>
      </w:r>
      <w:r w:rsidRPr="00754835">
        <w:rPr>
          <w:rFonts w:ascii="Georgia" w:eastAsia="Georgia" w:hAnsi="Georgia" w:cs="Georgia"/>
          <w:sz w:val="15"/>
          <w:szCs w:val="15"/>
          <w:lang w:val="pt-BR"/>
        </w:rPr>
        <w:t xml:space="preserve"> inicial, antes de comprar ações da empresa e as revender para investidores. Os subscritores geralmente recebem comissões das empresas oferecendo a ação e geralmente lucram ao vender as ações a investidores. </w:t>
      </w:r>
    </w:p>
    <w:p w:rsidR="006571C8" w:rsidRPr="00754835" w:rsidRDefault="003C286D" w:rsidP="0049593D">
      <w:pPr>
        <w:pStyle w:val="FootnoteText"/>
        <w:rPr>
          <w:rStyle w:val="FootnoteReference"/>
          <w:sz w:val="15"/>
          <w:szCs w:val="15"/>
          <w:vertAlign w:val="baseline"/>
          <w:lang w:val="pt-PT"/>
        </w:rPr>
      </w:pPr>
    </w:p>
  </w:footnote>
  <w:footnote w:id="2">
    <w:p w:rsidR="006571C8" w:rsidRPr="00754835" w:rsidRDefault="00CA4692" w:rsidP="0049593D">
      <w:pPr>
        <w:pStyle w:val="FootnoteText"/>
        <w:rPr>
          <w:rStyle w:val="FootnoteReference"/>
          <w:sz w:val="15"/>
          <w:szCs w:val="15"/>
          <w:vertAlign w:val="baseline"/>
        </w:rPr>
      </w:pPr>
      <w:r w:rsidRPr="00754835">
        <w:rPr>
          <w:rStyle w:val="FootnoteReference"/>
          <w:sz w:val="15"/>
          <w:szCs w:val="15"/>
        </w:rPr>
        <w:footnoteRef/>
      </w:r>
      <w:r w:rsidRPr="00754835">
        <w:rPr>
          <w:rStyle w:val="FootnoteReference"/>
          <w:rFonts w:ascii="Georgia" w:eastAsia="Georgia" w:hAnsi="Georgia" w:cs="Georgia"/>
          <w:sz w:val="15"/>
          <w:szCs w:val="15"/>
          <w:vertAlign w:val="baseline"/>
          <w:lang w:val="pt-BR"/>
        </w:rPr>
        <w:t xml:space="preserve"> O preço de fechamento ajustado de uma ação é o preço de fechamento de uma ação em qualquer dia de negociação, com ajustes para dividendos e divisões de ação. Eis um exemplo simplificado: se 20 ações forem negociadas a US$ 100 por ação, uma divisão de ação significa que o investidor agora possui 40 ações a US$ 50. Mas exibir um preço de fechamento por ação de US$ 50 faz parecer que o preço da ação caiu de US$ 100 para US$ 50 quando a ação realmente foi dividida. Assim, um cálculo é usado pelos analistas para mostrar o preço de fechamento ajustado para que os investidores vejam com mais facilidade os preços históricos da ação</w:t>
      </w:r>
      <w:r w:rsidRPr="00754835">
        <w:rPr>
          <w:rStyle w:val="FootnoteReference"/>
          <w:rFonts w:ascii="Georgia" w:eastAsia="Georgia" w:hAnsi="Georgia" w:cs="Georgia"/>
          <w:color w:val="000000"/>
          <w:sz w:val="15"/>
          <w:szCs w:val="15"/>
          <w:vertAlign w:val="baseline"/>
          <w:lang w:val="pt-BR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E07BF" w:rsidTr="0084517A">
      <w:tc>
        <w:tcPr>
          <w:tcW w:w="5000" w:type="pct"/>
        </w:tcPr>
        <w:p w:rsidR="002F372E" w:rsidRPr="009B5B65" w:rsidRDefault="003C286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9078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A4692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E07BF" w:rsidTr="0084517A">
      <w:tc>
        <w:tcPr>
          <w:tcW w:w="5000" w:type="pct"/>
        </w:tcPr>
        <w:p w:rsidR="006571C8" w:rsidRPr="009B5B65" w:rsidRDefault="003C286D" w:rsidP="0084517A">
          <w:pPr>
            <w:rPr>
              <w:sz w:val="24"/>
              <w:szCs w:val="24"/>
            </w:rPr>
          </w:pPr>
        </w:p>
      </w:tc>
    </w:tr>
  </w:tbl>
  <w:p w:rsidR="006571C8" w:rsidRPr="00C55723" w:rsidRDefault="003C286D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AEC2851"/>
    <w:multiLevelType w:val="hybridMultilevel"/>
    <w:tmpl w:val="CF92CDAC"/>
    <w:lvl w:ilvl="0" w:tplc="0A26BCA0">
      <w:start w:val="1"/>
      <w:numFmt w:val="decimal"/>
      <w:lvlText w:val="%1."/>
      <w:lvlJc w:val="left"/>
      <w:pPr>
        <w:ind w:left="720" w:hanging="360"/>
      </w:pPr>
    </w:lvl>
    <w:lvl w:ilvl="1" w:tplc="CBF28840" w:tentative="1">
      <w:start w:val="1"/>
      <w:numFmt w:val="lowerLetter"/>
      <w:lvlText w:val="%2."/>
      <w:lvlJc w:val="left"/>
      <w:pPr>
        <w:ind w:left="1440" w:hanging="360"/>
      </w:pPr>
    </w:lvl>
    <w:lvl w:ilvl="2" w:tplc="97181C7A" w:tentative="1">
      <w:start w:val="1"/>
      <w:numFmt w:val="lowerRoman"/>
      <w:lvlText w:val="%3."/>
      <w:lvlJc w:val="right"/>
      <w:pPr>
        <w:ind w:left="2160" w:hanging="180"/>
      </w:pPr>
    </w:lvl>
    <w:lvl w:ilvl="3" w:tplc="C5BE9992" w:tentative="1">
      <w:start w:val="1"/>
      <w:numFmt w:val="decimal"/>
      <w:lvlText w:val="%4."/>
      <w:lvlJc w:val="left"/>
      <w:pPr>
        <w:ind w:left="2880" w:hanging="360"/>
      </w:pPr>
    </w:lvl>
    <w:lvl w:ilvl="4" w:tplc="E9223BFA" w:tentative="1">
      <w:start w:val="1"/>
      <w:numFmt w:val="lowerLetter"/>
      <w:lvlText w:val="%5."/>
      <w:lvlJc w:val="left"/>
      <w:pPr>
        <w:ind w:left="3600" w:hanging="360"/>
      </w:pPr>
    </w:lvl>
    <w:lvl w:ilvl="5" w:tplc="5FE2E752" w:tentative="1">
      <w:start w:val="1"/>
      <w:numFmt w:val="lowerRoman"/>
      <w:lvlText w:val="%6."/>
      <w:lvlJc w:val="right"/>
      <w:pPr>
        <w:ind w:left="4320" w:hanging="180"/>
      </w:pPr>
    </w:lvl>
    <w:lvl w:ilvl="6" w:tplc="FAE6EC4E" w:tentative="1">
      <w:start w:val="1"/>
      <w:numFmt w:val="decimal"/>
      <w:lvlText w:val="%7."/>
      <w:lvlJc w:val="left"/>
      <w:pPr>
        <w:ind w:left="5040" w:hanging="360"/>
      </w:pPr>
    </w:lvl>
    <w:lvl w:ilvl="7" w:tplc="FA72B45E" w:tentative="1">
      <w:start w:val="1"/>
      <w:numFmt w:val="lowerLetter"/>
      <w:lvlText w:val="%8."/>
      <w:lvlJc w:val="left"/>
      <w:pPr>
        <w:ind w:left="5760" w:hanging="360"/>
      </w:pPr>
    </w:lvl>
    <w:lvl w:ilvl="8" w:tplc="07209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6270DDB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856B1D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378EC05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E6605A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F22D1F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12E770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58AFE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79689B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C60CA5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1544186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1402DA6E" w:tentative="1">
      <w:start w:val="1"/>
      <w:numFmt w:val="lowerLetter"/>
      <w:lvlText w:val="%2."/>
      <w:lvlJc w:val="left"/>
      <w:pPr>
        <w:ind w:left="2246" w:hanging="360"/>
      </w:pPr>
    </w:lvl>
    <w:lvl w:ilvl="2" w:tplc="6B1A1B5E" w:tentative="1">
      <w:start w:val="1"/>
      <w:numFmt w:val="lowerRoman"/>
      <w:lvlText w:val="%3."/>
      <w:lvlJc w:val="right"/>
      <w:pPr>
        <w:ind w:left="2966" w:hanging="180"/>
      </w:pPr>
    </w:lvl>
    <w:lvl w:ilvl="3" w:tplc="451E00AA" w:tentative="1">
      <w:start w:val="1"/>
      <w:numFmt w:val="decimal"/>
      <w:lvlText w:val="%4."/>
      <w:lvlJc w:val="left"/>
      <w:pPr>
        <w:ind w:left="3686" w:hanging="360"/>
      </w:pPr>
    </w:lvl>
    <w:lvl w:ilvl="4" w:tplc="C79414EE" w:tentative="1">
      <w:start w:val="1"/>
      <w:numFmt w:val="lowerLetter"/>
      <w:lvlText w:val="%5."/>
      <w:lvlJc w:val="left"/>
      <w:pPr>
        <w:ind w:left="4406" w:hanging="360"/>
      </w:pPr>
    </w:lvl>
    <w:lvl w:ilvl="5" w:tplc="504CE5BA" w:tentative="1">
      <w:start w:val="1"/>
      <w:numFmt w:val="lowerRoman"/>
      <w:lvlText w:val="%6."/>
      <w:lvlJc w:val="right"/>
      <w:pPr>
        <w:ind w:left="5126" w:hanging="180"/>
      </w:pPr>
    </w:lvl>
    <w:lvl w:ilvl="6" w:tplc="A7C85324" w:tentative="1">
      <w:start w:val="1"/>
      <w:numFmt w:val="decimal"/>
      <w:lvlText w:val="%7."/>
      <w:lvlJc w:val="left"/>
      <w:pPr>
        <w:ind w:left="5846" w:hanging="360"/>
      </w:pPr>
    </w:lvl>
    <w:lvl w:ilvl="7" w:tplc="F2EC0254" w:tentative="1">
      <w:start w:val="1"/>
      <w:numFmt w:val="lowerLetter"/>
      <w:lvlText w:val="%8."/>
      <w:lvlJc w:val="left"/>
      <w:pPr>
        <w:ind w:left="6566" w:hanging="360"/>
      </w:pPr>
    </w:lvl>
    <w:lvl w:ilvl="8" w:tplc="C1E2745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C360D43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694129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82CABD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6D280D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E30F5D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5CCD2A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EE2E05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BA03C9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1C664E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C6846F0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FEA9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E5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C7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BCE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729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C7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C8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847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5BF894E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146C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240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89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8E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43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49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00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86AD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abstractNum w:abstractNumId="33">
    <w:nsid w:val="7CC67B5B"/>
    <w:multiLevelType w:val="hybridMultilevel"/>
    <w:tmpl w:val="EB36F72C"/>
    <w:lvl w:ilvl="0" w:tplc="F68CFFC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6E02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A7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0D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7A1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F25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6C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C70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EB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6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E07BF"/>
    <w:rsid w:val="002D4B7A"/>
    <w:rsid w:val="002E10B2"/>
    <w:rsid w:val="002F289D"/>
    <w:rsid w:val="003C286D"/>
    <w:rsid w:val="00754835"/>
    <w:rsid w:val="009E07BF"/>
    <w:rsid w:val="00CA4692"/>
    <w:rsid w:val="00D3787D"/>
    <w:rsid w:val="00D9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DP-Plain2">
    <w:name w:val="DP-Plain 2"/>
    <w:basedOn w:val="TableTitleArial"/>
    <w:uiPriority w:val="99"/>
    <w:qFormat/>
    <w:rsid w:val="00061BDC"/>
    <w:rPr>
      <w:i w:val="0"/>
      <w:szCs w:val="20"/>
    </w:rPr>
  </w:style>
  <w:style w:type="paragraph" w:styleId="NormalWeb">
    <w:name w:val="Normal (Web)"/>
    <w:basedOn w:val="Normal"/>
    <w:uiPriority w:val="99"/>
    <w:semiHidden/>
    <w:unhideWhenUsed/>
    <w:rsid w:val="0065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6571C8"/>
    <w:pPr>
      <w:spacing w:after="0" w:line="240" w:lineRule="auto"/>
    </w:pPr>
    <w:rPr>
      <w:rFonts w:asciiTheme="minorHAnsi" w:hAnsiTheme="minorHAnsi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71C8"/>
    <w:rPr>
      <w:rFonts w:asciiTheme="minorHAnsi" w:hAnsiTheme="minorHAnsi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571C8"/>
    <w:rPr>
      <w:vertAlign w:val="superscript"/>
    </w:rPr>
  </w:style>
  <w:style w:type="paragraph" w:customStyle="1" w:styleId="MediumGrid22">
    <w:name w:val="Medium Grid 22"/>
    <w:uiPriority w:val="1"/>
    <w:qFormat/>
    <w:rsid w:val="0049593D"/>
    <w:pPr>
      <w:spacing w:after="0" w:line="240" w:lineRule="auto"/>
    </w:pPr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vestopedi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thleen\Documents\Words&amp;Numbers\finance_mortgage\Stocks_9-12\new_case_studies\Case_Study_Graph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en-US" sz="1000">
                <a:latin typeface="Arial" pitchFamily="34" charset="0"/>
                <a:cs typeface="Arial" pitchFamily="34" charset="0"/>
              </a:rPr>
              <a:t>Facebook Daily Adjusted Close</a:t>
            </a:r>
          </a:p>
        </c:rich>
      </c:tx>
      <c:layout>
        <c:manualLayout>
          <c:xMode val="edge"/>
          <c:yMode val="edge"/>
          <c:x val="1.1263347768777185E-3"/>
          <c:y val="0"/>
        </c:manualLayout>
      </c:layout>
    </c:title>
    <c:plotArea>
      <c:layout>
        <c:manualLayout>
          <c:layoutTarget val="inner"/>
          <c:xMode val="edge"/>
          <c:yMode val="edge"/>
          <c:x val="0.13337996226432747"/>
          <c:y val="0.12262140955451772"/>
          <c:w val="0.83820743962627975"/>
          <c:h val="0.47179509524264651"/>
        </c:manualLayout>
      </c:layout>
      <c:lineChart>
        <c:grouping val="standard"/>
        <c:ser>
          <c:idx val="0"/>
          <c:order val="0"/>
          <c:spPr>
            <a:ln>
              <a:solidFill>
                <a:schemeClr val="tx2"/>
              </a:solidFill>
            </a:ln>
          </c:spPr>
          <c:marker>
            <c:symbol val="none"/>
          </c:marker>
          <c:cat>
            <c:numRef>
              <c:f>Sheet1!$J$65:$J$87</c:f>
              <c:numCache>
                <c:formatCode>m/d/yyyy</c:formatCode>
                <c:ptCount val="23"/>
                <c:pt idx="0">
                  <c:v>41047</c:v>
                </c:pt>
                <c:pt idx="1">
                  <c:v>41050</c:v>
                </c:pt>
                <c:pt idx="2">
                  <c:v>41051</c:v>
                </c:pt>
                <c:pt idx="3">
                  <c:v>41052</c:v>
                </c:pt>
                <c:pt idx="4">
                  <c:v>41053</c:v>
                </c:pt>
                <c:pt idx="5">
                  <c:v>41054</c:v>
                </c:pt>
                <c:pt idx="6">
                  <c:v>41058</c:v>
                </c:pt>
                <c:pt idx="7">
                  <c:v>41059</c:v>
                </c:pt>
                <c:pt idx="8">
                  <c:v>41060</c:v>
                </c:pt>
                <c:pt idx="9">
                  <c:v>41061</c:v>
                </c:pt>
                <c:pt idx="10">
                  <c:v>41064</c:v>
                </c:pt>
                <c:pt idx="11">
                  <c:v>41065</c:v>
                </c:pt>
                <c:pt idx="12">
                  <c:v>41066</c:v>
                </c:pt>
                <c:pt idx="13">
                  <c:v>41067</c:v>
                </c:pt>
                <c:pt idx="14">
                  <c:v>41068</c:v>
                </c:pt>
                <c:pt idx="15">
                  <c:v>41071</c:v>
                </c:pt>
                <c:pt idx="16">
                  <c:v>41072</c:v>
                </c:pt>
                <c:pt idx="17">
                  <c:v>41073</c:v>
                </c:pt>
                <c:pt idx="18">
                  <c:v>41074</c:v>
                </c:pt>
                <c:pt idx="19">
                  <c:v>41075</c:v>
                </c:pt>
                <c:pt idx="20">
                  <c:v>41078</c:v>
                </c:pt>
                <c:pt idx="21">
                  <c:v>41079</c:v>
                </c:pt>
                <c:pt idx="22">
                  <c:v>41080</c:v>
                </c:pt>
              </c:numCache>
            </c:numRef>
          </c:cat>
          <c:val>
            <c:numRef>
              <c:f>Sheet1!$K$65:$K$87</c:f>
              <c:numCache>
                <c:formatCode>General</c:formatCode>
                <c:ptCount val="23"/>
                <c:pt idx="0">
                  <c:v>38.230000000000011</c:v>
                </c:pt>
                <c:pt idx="1">
                  <c:v>34.03</c:v>
                </c:pt>
                <c:pt idx="2">
                  <c:v>31</c:v>
                </c:pt>
                <c:pt idx="3">
                  <c:v>32</c:v>
                </c:pt>
                <c:pt idx="4">
                  <c:v>33.03</c:v>
                </c:pt>
                <c:pt idx="5">
                  <c:v>31.91</c:v>
                </c:pt>
                <c:pt idx="6">
                  <c:v>28.84</c:v>
                </c:pt>
                <c:pt idx="7">
                  <c:v>28.19</c:v>
                </c:pt>
                <c:pt idx="8">
                  <c:v>29.6</c:v>
                </c:pt>
                <c:pt idx="9">
                  <c:v>27.72</c:v>
                </c:pt>
                <c:pt idx="10">
                  <c:v>26.9</c:v>
                </c:pt>
                <c:pt idx="11">
                  <c:v>25.87</c:v>
                </c:pt>
                <c:pt idx="12">
                  <c:v>26.810000000000031</c:v>
                </c:pt>
                <c:pt idx="13">
                  <c:v>26.310000000000031</c:v>
                </c:pt>
                <c:pt idx="14">
                  <c:v>27.1</c:v>
                </c:pt>
                <c:pt idx="15">
                  <c:v>27.01</c:v>
                </c:pt>
                <c:pt idx="16">
                  <c:v>27.4</c:v>
                </c:pt>
                <c:pt idx="17">
                  <c:v>27.27</c:v>
                </c:pt>
                <c:pt idx="18">
                  <c:v>28.29</c:v>
                </c:pt>
                <c:pt idx="19">
                  <c:v>30.01</c:v>
                </c:pt>
                <c:pt idx="20">
                  <c:v>31.41</c:v>
                </c:pt>
                <c:pt idx="21">
                  <c:v>31.91</c:v>
                </c:pt>
                <c:pt idx="22">
                  <c:v>31.6</c:v>
                </c:pt>
              </c:numCache>
            </c:numRef>
          </c:val>
        </c:ser>
        <c:marker val="1"/>
        <c:axId val="84010880"/>
        <c:axId val="84012416"/>
      </c:lineChart>
      <c:dateAx>
        <c:axId val="84010880"/>
        <c:scaling>
          <c:orientation val="minMax"/>
        </c:scaling>
        <c:axPos val="b"/>
        <c:numFmt formatCode="m/d/yyyy" sourceLinked="1"/>
        <c:tickLblPos val="nextTo"/>
        <c:spPr>
          <a:ln w="12700">
            <a:solidFill>
              <a:srgbClr val="968C6D"/>
            </a:solidFill>
          </a:ln>
        </c:spPr>
        <c:txPr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84012416"/>
        <c:crosses val="autoZero"/>
        <c:auto val="1"/>
        <c:lblOffset val="100"/>
        <c:baseTimeUnit val="days"/>
      </c:dateAx>
      <c:valAx>
        <c:axId val="84012416"/>
        <c:scaling>
          <c:orientation val="minMax"/>
        </c:scaling>
        <c:axPos val="l"/>
        <c:majorGridlines>
          <c:spPr>
            <a:ln w="6350">
              <a:solidFill>
                <a:srgbClr val="968C6D"/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sz="900">
                    <a:latin typeface="Arial" pitchFamily="34" charset="0"/>
                    <a:cs typeface="Arial" pitchFamily="34" charset="0"/>
                  </a:rPr>
                  <a:t>Preços de ações (US $)</a:t>
                </a:r>
              </a:p>
            </c:rich>
          </c:tx>
          <c:layout>
            <c:manualLayout>
              <c:xMode val="edge"/>
              <c:yMode val="edge"/>
              <c:x val="1.2916851151950863E-2"/>
              <c:y val="0.10039309160930857"/>
            </c:manualLayout>
          </c:layout>
        </c:title>
        <c:numFmt formatCode="General" sourceLinked="1"/>
        <c:tickLblPos val="nextTo"/>
        <c:spPr>
          <a:ln w="12700">
            <a:solidFill>
              <a:srgbClr val="968C6D"/>
            </a:solidFill>
          </a:ln>
        </c:spPr>
        <c:crossAx val="84010880"/>
        <c:crosses val="autoZero"/>
        <c:crossBetween val="between"/>
      </c:valAx>
    </c:plotArea>
    <c:plotVisOnly val="1"/>
    <c:dispBlanksAs val="gap"/>
  </c:chart>
  <c:spPr>
    <a:ln>
      <a:solidFill>
        <a:srgbClr val="968C6D"/>
      </a:solidFill>
    </a:ln>
  </c:spPr>
  <c:txPr>
    <a:bodyPr/>
    <a:lstStyle/>
    <a:p>
      <a:pPr>
        <a:defRPr sz="1000"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86D59-D55B-4AA4-A641-5D86D5F3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5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2012-08-31T10:09:00Z</cp:lastPrinted>
  <dcterms:created xsi:type="dcterms:W3CDTF">2012-12-26T04:48:00Z</dcterms:created>
  <dcterms:modified xsi:type="dcterms:W3CDTF">2012-12-26T04:48:00Z</dcterms:modified>
</cp:coreProperties>
</file>